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Kpi.com Upgrade for February </w:t>
      </w:r>
    </w:p>
    <w:p>
      <w:pPr>
        <w:spacing w:before="240" w:after="240"/>
      </w:pPr>
      <w:r>
        <w:t>Published Date : February 19, 2018</w:t>
      </w:r>
      <w:r>
        <w:br/>
      </w:r>
      <w:r>
        <w:t xml:space="preserve">Categories : </w:t>
      </w:r>
      <w:r>
        <w:fldChar w:fldCharType="begin"/>
      </w:r>
      <w:r>
        <w:instrText xml:space="preserve"> HYPERLINK "http://frontend.kpi.com/blog/category/uncategorized/" </w:instrText>
      </w:r>
      <w:r>
        <w:fldChar w:fldCharType="separate"/>
      </w:r>
      <w:r>
        <w:rPr>
          <w:color w:val="0000EE"/>
          <w:u w:val="single" w:color="0000EE"/>
        </w:rPr>
        <w:t>Uncategorized</w:t>
      </w:r>
      <w:r>
        <w:rPr>
          <w:color w:val="0000EE"/>
          <w:u w:val="single" w:color="0000EE"/>
        </w:rPr>
        <w:fldChar w:fldCharType="end"/>
      </w:r>
      <w:r>
        <w:rPr>
          <w:color w:val="0000EE"/>
          <w:u w:val="single" w:color="0000EE"/>
        </w:rPr>
        <w:br/>
      </w:r>
      <w:r>
        <w:t xml:space="preserve">Dear KPI.com users, We are excited to announce that our latest system upgrade is going to take place tomorrow which will fix the bugs and add a few new features. We did our best to improve the overall performance of the system relying on our customers’ feedback and requests. We would like to thank customers for their recommendations and kind patience. Here at KPI.com we will always try to provide the best service, as our customers matter the most! Let’s take a quick look at all the new awesome features that have recently been added: </w:t>
      </w:r>
    </w:p>
    <w:p>
      <w:pPr>
        <w:pStyle w:val="Heading3"/>
        <w:keepNext w:val="0"/>
        <w:spacing w:before="281" w:after="281"/>
        <w:outlineLvl w:val="9"/>
        <w:rPr>
          <w:b/>
          <w:bCs/>
          <w:sz w:val="28"/>
          <w:szCs w:val="28"/>
        </w:rPr>
      </w:pPr>
      <w:r>
        <w:rPr>
          <w:rFonts w:ascii="Times New Roman" w:eastAsia="Times New Roman" w:hAnsi="Times New Roman" w:cs="Times New Roman"/>
          <w:i w:val="0"/>
        </w:rPr>
        <w:t>Accounting</w:t>
      </w:r>
    </w:p>
    <w:p>
      <w:r>
        <w:t xml:space="preserve">Bank Payments and Receipts share the same numbering with </w:t>
      </w:r>
      <w:r>
        <w:rPr>
          <w:b/>
          <w:bCs/>
        </w:rPr>
        <w:t>Receive Payment</w:t>
      </w:r>
      <w:r>
        <w:t xml:space="preserve"> and </w:t>
      </w:r>
      <w:r>
        <w:rPr>
          <w:b/>
          <w:bCs/>
        </w:rPr>
        <w:t>Pay Invoice</w:t>
      </w:r>
      <w:r>
        <w:t xml:space="preserve"> transactions. Some of our users wanted to separate those numbers and thus we added an option to </w:t>
      </w:r>
      <w:r>
        <w:rPr>
          <w:b/>
          <w:bCs/>
        </w:rPr>
        <w:t>Numbering Settings</w:t>
      </w:r>
      <w:r>
        <w:t xml:space="preserve"> to set up each transaction serial numbers separately. However, this option can be activated to an account per request. </w:t>
      </w:r>
      <w:r>
        <w:rPr>
          <w:strike w:val="0"/>
          <w:u w:val="none"/>
        </w:rPr>
        <w:drawing>
          <wp:inline>
            <wp:extent cx="9248775" cy="51054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542119" name=""/>
                    <pic:cNvPicPr>
                      <a:picLocks noChangeAspect="1"/>
                    </pic:cNvPicPr>
                  </pic:nvPicPr>
                  <pic:blipFill>
                    <a:blip xmlns:r="http://schemas.openxmlformats.org/officeDocument/2006/relationships" r:embed="rId4"/>
                    <a:stretch>
                      <a:fillRect/>
                    </a:stretch>
                  </pic:blipFill>
                  <pic:spPr>
                    <a:xfrm>
                      <a:off x="0" y="0"/>
                      <a:ext cx="9248775" cy="5105400"/>
                    </a:xfrm>
                    <a:prstGeom prst="rect">
                      <a:avLst/>
                    </a:prstGeom>
                  </pic:spPr>
                </pic:pic>
              </a:graphicData>
            </a:graphic>
          </wp:inline>
        </w:drawing>
      </w:r>
      <w:r>
        <w:t xml:space="preserve"> </w:t>
      </w:r>
      <w:r>
        <w:rPr>
          <w:b/>
          <w:bCs/>
        </w:rPr>
        <w:t>Fixed Assets</w:t>
      </w:r>
      <w:r>
        <w:t xml:space="preserve"> now can be exported to </w:t>
      </w:r>
      <w:r>
        <w:rPr>
          <w:b/>
          <w:bCs/>
        </w:rPr>
        <w:t>PDF</w:t>
      </w:r>
      <w:r>
        <w:t xml:space="preserve">. This option was available only to the list of fixed assets. However, each fixed asset summary can also be exported to PDF now. </w:t>
      </w:r>
      <w:r>
        <w:rPr>
          <w:strike w:val="0"/>
          <w:u w:val="none"/>
        </w:rPr>
        <w:drawing>
          <wp:inline>
            <wp:extent cx="8086725" cy="45339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75506" name=""/>
                    <pic:cNvPicPr>
                      <a:picLocks noChangeAspect="1"/>
                    </pic:cNvPicPr>
                  </pic:nvPicPr>
                  <pic:blipFill>
                    <a:blip xmlns:r="http://schemas.openxmlformats.org/officeDocument/2006/relationships" r:embed="rId5"/>
                    <a:stretch>
                      <a:fillRect/>
                    </a:stretch>
                  </pic:blipFill>
                  <pic:spPr>
                    <a:xfrm>
                      <a:off x="0" y="0"/>
                      <a:ext cx="8086725" cy="4533900"/>
                    </a:xfrm>
                    <a:prstGeom prst="rect">
                      <a:avLst/>
                    </a:prstGeom>
                  </pic:spPr>
                </pic:pic>
              </a:graphicData>
            </a:graphic>
          </wp:inline>
        </w:drawing>
      </w:r>
      <w:r>
        <w:t xml:space="preserve"> </w:t>
      </w:r>
      <w:r>
        <w:rPr>
          <w:b/>
          <w:bCs/>
        </w:rPr>
        <w:t>Cash Transactions</w:t>
      </w:r>
      <w:r>
        <w:t xml:space="preserve"> formerly could be posted only to current asset accounts excluding the bank accounts. As per customers' request, we have enabled </w:t>
      </w:r>
      <w:r>
        <w:rPr>
          <w:b/>
          <w:bCs/>
        </w:rPr>
        <w:t>bank accounts</w:t>
      </w:r>
      <w:r>
        <w:t xml:space="preserve"> to show up in Cash Transactions. </w:t>
      </w:r>
      <w:r>
        <w:rPr>
          <w:strike w:val="0"/>
          <w:u w:val="none"/>
        </w:rPr>
        <w:drawing>
          <wp:inline>
            <wp:extent cx="10734675" cy="42100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53536" name=""/>
                    <pic:cNvPicPr>
                      <a:picLocks noChangeAspect="1"/>
                    </pic:cNvPicPr>
                  </pic:nvPicPr>
                  <pic:blipFill>
                    <a:blip xmlns:r="http://schemas.openxmlformats.org/officeDocument/2006/relationships" r:embed="rId6"/>
                    <a:stretch>
                      <a:fillRect/>
                    </a:stretch>
                  </pic:blipFill>
                  <pic:spPr>
                    <a:xfrm>
                      <a:off x="0" y="0"/>
                      <a:ext cx="10734675" cy="4210050"/>
                    </a:xfrm>
                    <a:prstGeom prst="rect">
                      <a:avLst/>
                    </a:prstGeom>
                  </pic:spPr>
                </pic:pic>
              </a:graphicData>
            </a:graphic>
          </wp:inline>
        </w:drawing>
      </w:r>
      <w:r>
        <w:t xml:space="preserve"> </w:t>
      </w:r>
      <w:r>
        <w:rPr>
          <w:b/>
          <w:bCs/>
        </w:rPr>
        <w:t>Account Transactions</w:t>
      </w:r>
      <w:r>
        <w:t xml:space="preserve"> report can be filtered by</w:t>
      </w:r>
      <w:r>
        <w:rPr>
          <w:b/>
          <w:bCs/>
        </w:rPr>
        <w:t xml:space="preserve"> Project</w:t>
      </w:r>
      <w:r>
        <w:t xml:space="preserve"> which is very handy when you want to see the transactions related to one project. </w:t>
      </w:r>
      <w:r>
        <w:rPr>
          <w:strike w:val="0"/>
          <w:u w:val="none"/>
        </w:rPr>
        <w:drawing>
          <wp:inline>
            <wp:extent cx="12782550" cy="423862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50185" name=""/>
                    <pic:cNvPicPr>
                      <a:picLocks noChangeAspect="1"/>
                    </pic:cNvPicPr>
                  </pic:nvPicPr>
                  <pic:blipFill>
                    <a:blip xmlns:r="http://schemas.openxmlformats.org/officeDocument/2006/relationships" r:embed="rId7"/>
                    <a:stretch>
                      <a:fillRect/>
                    </a:stretch>
                  </pic:blipFill>
                  <pic:spPr>
                    <a:xfrm>
                      <a:off x="0" y="0"/>
                      <a:ext cx="12782550" cy="4238625"/>
                    </a:xfrm>
                    <a:prstGeom prst="rect">
                      <a:avLst/>
                    </a:prstGeom>
                  </pic:spPr>
                </pic:pic>
              </a:graphicData>
            </a:graphic>
          </wp:inline>
        </w:drawing>
      </w:r>
      <w:r>
        <w:t xml:space="preserve"> Users can choose the </w:t>
      </w:r>
      <w:r>
        <w:rPr>
          <w:b/>
          <w:bCs/>
        </w:rPr>
        <w:t>payment method</w:t>
      </w:r>
      <w:r>
        <w:t xml:space="preserve"> while receiving or making payments in I</w:t>
      </w:r>
      <w:r>
        <w:rPr>
          <w:b/>
          <w:bCs/>
        </w:rPr>
        <w:t>nvoices</w:t>
      </w:r>
      <w:r>
        <w:t xml:space="preserve">. </w:t>
      </w:r>
      <w:r>
        <w:rPr>
          <w:strike w:val="0"/>
          <w:u w:val="none"/>
        </w:rPr>
        <w:drawing>
          <wp:inline>
            <wp:extent cx="9296400" cy="460057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399192" name=""/>
                    <pic:cNvPicPr>
                      <a:picLocks noChangeAspect="1"/>
                    </pic:cNvPicPr>
                  </pic:nvPicPr>
                  <pic:blipFill>
                    <a:blip xmlns:r="http://schemas.openxmlformats.org/officeDocument/2006/relationships" r:embed="rId8"/>
                    <a:stretch>
                      <a:fillRect/>
                    </a:stretch>
                  </pic:blipFill>
                  <pic:spPr>
                    <a:xfrm>
                      <a:off x="0" y="0"/>
                      <a:ext cx="9296400" cy="4600575"/>
                    </a:xfrm>
                    <a:prstGeom prst="rect">
                      <a:avLst/>
                    </a:prstGeom>
                  </pic:spPr>
                </pic:pic>
              </a:graphicData>
            </a:graphic>
          </wp:inline>
        </w:drawing>
      </w:r>
      <w:r>
        <w:t xml:space="preserve"> </w:t>
      </w:r>
      <w:r>
        <w:rPr>
          <w:b/>
          <w:bCs/>
        </w:rPr>
        <w:t>VAT Return Report</w:t>
      </w:r>
      <w:r>
        <w:t xml:space="preserve"> is renamed to be more comprehensible for GCC countries. </w:t>
      </w:r>
      <w:r>
        <w:rPr>
          <w:strike w:val="0"/>
          <w:u w:val="none"/>
        </w:rPr>
        <w:drawing>
          <wp:inline>
            <wp:extent cx="12668250" cy="45053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51113" name=""/>
                    <pic:cNvPicPr>
                      <a:picLocks noChangeAspect="1"/>
                    </pic:cNvPicPr>
                  </pic:nvPicPr>
                  <pic:blipFill>
                    <a:blip xmlns:r="http://schemas.openxmlformats.org/officeDocument/2006/relationships" r:embed="rId9"/>
                    <a:stretch>
                      <a:fillRect/>
                    </a:stretch>
                  </pic:blipFill>
                  <pic:spPr>
                    <a:xfrm>
                      <a:off x="0" y="0"/>
                      <a:ext cx="12668250" cy="4505325"/>
                    </a:xfrm>
                    <a:prstGeom prst="rect">
                      <a:avLst/>
                    </a:prstGeom>
                  </pic:spPr>
                </pic:pic>
              </a:graphicData>
            </a:graphic>
          </wp:inline>
        </w:drawing>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Sales</w:t>
      </w:r>
    </w:p>
    <w:p>
      <w:pPr>
        <w:rPr>
          <w:b/>
          <w:bCs/>
        </w:rPr>
      </w:pPr>
      <w:r>
        <w:rPr>
          <w:b/>
          <w:bCs/>
        </w:rPr>
        <w:t>Request for Quotes</w:t>
      </w:r>
      <w:r>
        <w:t xml:space="preserve"> can be added from </w:t>
      </w:r>
      <w:r>
        <w:rPr>
          <w:b/>
          <w:bCs/>
        </w:rPr>
        <w:t>Opportunities</w:t>
      </w:r>
      <w:r>
        <w:t xml:space="preserve"> and linked to Opportunities. For easy access of Requests for Quotes related to a specific Opportunity, we have added the request for quote section to Opportunity summary page. </w:t>
      </w:r>
      <w:r>
        <w:rPr>
          <w:strike w:val="0"/>
          <w:u w:val="none"/>
        </w:rPr>
        <w:drawing>
          <wp:inline>
            <wp:extent cx="8601075" cy="441007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729963" name=""/>
                    <pic:cNvPicPr>
                      <a:picLocks noChangeAspect="1"/>
                    </pic:cNvPicPr>
                  </pic:nvPicPr>
                  <pic:blipFill>
                    <a:blip xmlns:r="http://schemas.openxmlformats.org/officeDocument/2006/relationships" r:embed="rId10"/>
                    <a:stretch>
                      <a:fillRect/>
                    </a:stretch>
                  </pic:blipFill>
                  <pic:spPr>
                    <a:xfrm>
                      <a:off x="0" y="0"/>
                      <a:ext cx="8601075" cy="4410075"/>
                    </a:xfrm>
                    <a:prstGeom prst="rect">
                      <a:avLst/>
                    </a:prstGeom>
                  </pic:spPr>
                </pic:pic>
              </a:graphicData>
            </a:graphic>
          </wp:inline>
        </w:drawing>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Projects</w:t>
      </w:r>
    </w:p>
    <w:p>
      <w:r>
        <w:t xml:space="preserve">Workstreams could be sorted only by dates earlier, however, you can now sort them by name too. This is very helpful when you have a lot of workstreams in one project. </w:t>
      </w:r>
      <w:r>
        <w:rPr>
          <w:strike w:val="0"/>
          <w:u w:val="none"/>
        </w:rPr>
        <w:drawing>
          <wp:inline>
            <wp:extent cx="12458700" cy="3514725"/>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80981" name=""/>
                    <pic:cNvPicPr>
                      <a:picLocks noChangeAspect="1"/>
                    </pic:cNvPicPr>
                  </pic:nvPicPr>
                  <pic:blipFill>
                    <a:blip xmlns:r="http://schemas.openxmlformats.org/officeDocument/2006/relationships" r:embed="rId11"/>
                    <a:stretch>
                      <a:fillRect/>
                    </a:stretch>
                  </pic:blipFill>
                  <pic:spPr>
                    <a:xfrm>
                      <a:off x="0" y="0"/>
                      <a:ext cx="12458700" cy="3514725"/>
                    </a:xfrm>
                    <a:prstGeom prst="rect">
                      <a:avLst/>
                    </a:prstGeom>
                  </pic:spPr>
                </pic:pic>
              </a:graphicData>
            </a:graphic>
          </wp:inline>
        </w:drawing>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Payroll</w:t>
      </w:r>
    </w:p>
    <w:p>
      <w:pPr>
        <w:rPr>
          <w:b/>
          <w:bCs/>
        </w:rPr>
      </w:pPr>
      <w:r>
        <w:rPr>
          <w:b/>
          <w:bCs/>
        </w:rPr>
        <w:t>Cash Advance payment</w:t>
      </w:r>
      <w:r>
        <w:t xml:space="preserve"> now includes the</w:t>
      </w:r>
      <w:r>
        <w:rPr>
          <w:b/>
          <w:bCs/>
        </w:rPr>
        <w:t xml:space="preserve"> Period</w:t>
      </w:r>
      <w:r>
        <w:t xml:space="preserve"> column which shows the payrun period the cash advance was deducted/paid. If the period column is blank and the cash advance is fully paid then it means that the cash advance was not deducted from any payrun and was paid separately. </w:t>
      </w:r>
      <w:r>
        <w:rPr>
          <w:strike w:val="0"/>
          <w:u w:val="none"/>
        </w:rPr>
        <w:drawing>
          <wp:inline>
            <wp:extent cx="12849225" cy="2333625"/>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08834" name=""/>
                    <pic:cNvPicPr>
                      <a:picLocks noChangeAspect="1"/>
                    </pic:cNvPicPr>
                  </pic:nvPicPr>
                  <pic:blipFill>
                    <a:blip xmlns:r="http://schemas.openxmlformats.org/officeDocument/2006/relationships" r:embed="rId12"/>
                    <a:stretch>
                      <a:fillRect/>
                    </a:stretch>
                  </pic:blipFill>
                  <pic:spPr>
                    <a:xfrm>
                      <a:off x="0" y="0"/>
                      <a:ext cx="12849225" cy="2333625"/>
                    </a:xfrm>
                    <a:prstGeom prst="rect">
                      <a:avLst/>
                    </a:prstGeom>
                  </pic:spPr>
                </pic:pic>
              </a:graphicData>
            </a:graphic>
          </wp:inline>
        </w:drawing>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